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722CB">
      <w:pPr>
        <w:rPr>
          <w:rFonts w:hint="default" w:ascii="Times New Roman" w:hAnsi="Times New Roman" w:eastAsia="微软雅黑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微软雅黑" w:cs="Times New Roman"/>
          <w:color w:val="000000"/>
          <w:sz w:val="30"/>
          <w:szCs w:val="30"/>
        </w:rPr>
        <w:t>附件：盐城市第四</w:t>
      </w:r>
      <w:bookmarkStart w:id="0" w:name="_GoBack"/>
      <w:bookmarkEnd w:id="0"/>
      <w:r>
        <w:rPr>
          <w:rFonts w:hint="default" w:ascii="Times New Roman" w:hAnsi="Times New Roman" w:eastAsia="微软雅黑" w:cs="Times New Roman"/>
          <w:color w:val="000000"/>
          <w:sz w:val="30"/>
          <w:szCs w:val="30"/>
        </w:rPr>
        <w:t>人民医院 HRP 项目市场调研要求</w:t>
      </w:r>
    </w:p>
    <w:p w14:paraId="3F744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本附件为盐城市第四人民医院 HRP 项目市场调研公告配套材料。供应商须按照本调研要求逐项响应，结合精神卫生专科医院业务特点编制应答材料；所有应答内容需真实可验证，涉及功能点须明确标注：是否为系统原生模块、是否需要二次开发。</w:t>
      </w:r>
    </w:p>
    <w:p w14:paraId="739F7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一、基础技术平台调研要求</w:t>
      </w:r>
    </w:p>
    <w:p w14:paraId="7ADF0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平台整体架构说明，明确技术栈、部署模式（本地部署、虚拟化部署等），是否支持微服务架构；阐述平台扩展能力，说明后期新增业务模块、对接第三方系统的实现路径。</w:t>
      </w:r>
    </w:p>
    <w:p w14:paraId="76AAA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系统权限体系：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支持按岗位、角色、人员多维度权限配置，实现功能权限、数据权限、字段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4D603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权限分级管控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满足医院多科室多岗位数据隔离，适配精神科临床、护理、行政、财务、物资、人事等不同岗位的数据访问与操作要求。</w:t>
      </w:r>
    </w:p>
    <w:p w14:paraId="64B8C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接口与集成能力：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说明与医院现有 HIS、EMR、LIS、电子病历、医保系统、银企直连、档案系统对接实施方案；提供标准化接口及接口文档；说明数据中台能力，打通业务、财务、人力、物资数据，消除信息孤岛。</w:t>
      </w:r>
    </w:p>
    <w:p w14:paraId="6B215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系统性能与安全：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说明系统支持并发用户数量；具备完整操作日志审计、全流程留痕、数据备份恢复、防篡改能力，符合医疗卫生行业网络安全、数据安全、个人信息保护相关法规规范。</w:t>
      </w:r>
    </w:p>
    <w:p w14:paraId="261CE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移动端支撑：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列明移动端可支撑业务场景，如报销审批、合同查阅、预算查看、绩效数据查询、资产盘点等，明确对应功能是否为移动端原生支持。</w:t>
      </w:r>
    </w:p>
    <w:p w14:paraId="1F1C2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运维与版本迭代：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说明平台版本升级策略、补丁更新机制；系统故障监控预警能力；数据库及系统运维服务模式。</w:t>
      </w:r>
    </w:p>
    <w:p w14:paraId="63348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二、全面预算管控模块调研要求</w:t>
      </w:r>
    </w:p>
    <w:p w14:paraId="40917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实现医院年度预算编制、申报、审核、批复、下达全流程线上管理，支持按行政科室、临床病区、医技科室、后勤职能部门分级归口编制预算。</w:t>
      </w:r>
    </w:p>
    <w:p w14:paraId="4DD0A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预算维度覆盖收入预算、支出预算，包含人员经费、药品物资、设备购置、专项项目经费、后勤运维、精神专科专项业务经费等；支持预算调整、追加、追减线上审批流转。</w:t>
      </w:r>
    </w:p>
    <w:p w14:paraId="2313E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实现预算执行实时管控，与报销、合同、付款环节联动，支持事前预算校验，超预算实现预警或拦截；输出多维度预算执行报表，可按科室、项目、经费类型统计执行进度。</w:t>
      </w:r>
    </w:p>
    <w:p w14:paraId="7325E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支持预算考核，可将预算执行结果用于科室运营评价；实现预算数据与财务会计模块自动对账。</w:t>
      </w:r>
    </w:p>
    <w:p w14:paraId="1A199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三、财务会计核算模块调研要求</w:t>
      </w:r>
    </w:p>
    <w:p w14:paraId="566CD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严格符合政府会计制度医院版，支持财务会计、预算会计双分录核算；凭证支持手工制单，同时支持报销、物资出入库、固定资产、业务收入等业务自动生成会计凭证。</w:t>
      </w:r>
    </w:p>
    <w:p w14:paraId="0074F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总账、明细账、辅助核算功能完备，支持科室、项目、往来单位、资金来源等多维度辅助核算；自动输出资产负债表、收入费用表、预算收支表等法定财务报表，支持自定义院内管理报表。</w:t>
      </w:r>
    </w:p>
    <w:p w14:paraId="31C6B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往来款项管理：建立应收、应付、其他往来台账，支持往来对账、账龄分析，适配精神卫生医院医保结算往来、第三方合作往来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管理业务场景。</w:t>
      </w:r>
    </w:p>
    <w:p w14:paraId="604A2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期末业务处理：自动计提折旧摊销、期末结转、年末结转；凭证查询、调账、冲销操作全程留痕可追溯。</w:t>
      </w:r>
    </w:p>
    <w:p w14:paraId="463DC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四、资金管理模块调研要求</w:t>
      </w:r>
    </w:p>
    <w:p w14:paraId="35C26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支持资金计划申报、审核、执行全流程管理，各科室线上报送用款计划；可对接银企直连，实现付款申请、审批、银行付款业务闭环。</w:t>
      </w:r>
    </w:p>
    <w:p w14:paraId="4010A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银行账户台账管理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支持银行对账单导入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自动对账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（含收费系统与银行账对账）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；提供资金流水查询、资金预测分析功能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，</w:t>
      </w:r>
    </w:p>
    <w:p w14:paraId="20AAC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和预算、合同、报销模块联动，付款环节自动校验预算额度、合同执行进度；票据台账管理，实现支票、电子票据登记备查。</w:t>
      </w:r>
    </w:p>
    <w:p w14:paraId="630E0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五、合同全生命周期管理模块调研要求</w:t>
      </w:r>
    </w:p>
    <w:p w14:paraId="17242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覆盖合同起草、线上会签审批、盖章登记、履约跟踪、变更管理、补充协议、结算办理、归档保管全生命周期管理。</w:t>
      </w:r>
    </w:p>
    <w:p w14:paraId="5459B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支持多类型合同分类管理，包含物资采购、设备购置、服务外包、工程、科研专项、精神专科项目合作等；支持合同范本库维护管理。</w:t>
      </w:r>
    </w:p>
    <w:p w14:paraId="2189B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合同付款计划管理，可按合同约定配置付款节点，自动推送付款提醒；联动预算、财务付款，管控超合同付款风险。</w:t>
      </w:r>
    </w:p>
    <w:p w14:paraId="06055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建立合同履约台账，展示合同执行进度、已付款、未付款信息；实现合同到期预警提醒；支持电子归档、快速检索调阅。</w:t>
      </w:r>
    </w:p>
    <w:p w14:paraId="3EFC7A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六、专项业务管理模块调研要求</w:t>
      </w:r>
    </w:p>
    <w:p w14:paraId="34CD3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科研专项、财政专项、公共卫生项目（严重精神障碍管理、心理援助项目等）台账管理，实现专项经费独立核算，完成专项经费预算、支出、执行全流程跟踪管控。</w:t>
      </w:r>
    </w:p>
    <w:p w14:paraId="4EDAD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覆盖项目立项、经费拨付、经费支出管控，能够区分专项经费与医院常规经费，输出专项经费执行分析报表。</w:t>
      </w:r>
    </w:p>
    <w:p w14:paraId="2029A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可支撑外部专项绩效上报，提供专项经费使用相关数据支撑。</w:t>
      </w:r>
    </w:p>
    <w:p w14:paraId="5A553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七、费用报销管理模块调研要求</w:t>
      </w:r>
    </w:p>
    <w:p w14:paraId="39E82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线上发起报销申请，覆盖差旅费、会议费、培训费、业务招待费及其他日常经费；支持电子票据识别、验真、查重，报销附件电子化上传。</w:t>
      </w:r>
    </w:p>
    <w:p w14:paraId="377D3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支持按医院制度配置多级审批流程，可按金额、科室设置差异化审批节点；报销提交环节自动校验预算额度。</w:t>
      </w:r>
    </w:p>
    <w:p w14:paraId="4FD85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报销单据完成审批后自动生成会计凭证；报销办理进度可查询；提供个人报销台账、科室报销统计。</w:t>
      </w:r>
    </w:p>
    <w:p w14:paraId="3ED31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适配精神专科医院外出会诊、精神卫生宣教、社区督导等特色业务报销场景。</w:t>
      </w:r>
    </w:p>
    <w:p w14:paraId="76F8E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八、医院全成本核算模块调研要求</w:t>
      </w:r>
    </w:p>
    <w:p w14:paraId="0E24B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支持院级、科室级成本归集与分摊，科室维度区分临床病区、门诊、医技、行政后勤科室。</w:t>
      </w:r>
    </w:p>
    <w:p w14:paraId="11692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直接成本自动归集，间接成本按配置规则自动分摊，涵盖人员经费、物资耗材、设备折旧、后勤公摊费用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；支持按精神专科病区开展单元成本核算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成本‑收入匹配核算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支持成本数据溯源，可查询每笔成本数据来源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输出</w:t>
      </w:r>
      <w:r>
        <w:rPr>
          <w:rFonts w:hint="default" w:ascii="Times New Roman" w:hAnsi="Times New Roman" w:eastAsia="方正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卫健部门要求的成本报表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6605B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需支持多维度成本分析、盈亏分析，服务于精神专科科室运营决策；成本数据可与预算、绩效模块互通共享。</w:t>
      </w:r>
    </w:p>
    <w:p w14:paraId="73EF2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九、物资管理模块调研要求</w:t>
      </w:r>
    </w:p>
    <w:p w14:paraId="1CB28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物资采购申请、审批、入库、出库、领用、盘点、报损全流程闭环管理，覆盖普通物资、后勤物资、医用耗材等各类物资。</w:t>
      </w:r>
    </w:p>
    <w:p w14:paraId="660D5F7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Chars="0" w:right="0" w:rightChars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支持库房管理（含二级库房）、</w:t>
      </w:r>
      <w:r>
        <w:rPr>
          <w:rFonts w:hint="default" w:ascii="Times New Roman" w:hAnsi="Times New Roman" w:eastAsia="方正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高值耗材一物一码溯源管理、库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存预警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、扫码盘点、</w:t>
      </w:r>
      <w:r>
        <w:rPr>
          <w:rFonts w:hint="default" w:ascii="Times New Roman" w:hAnsi="Times New Roman" w:eastAsia="方正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盘盈盘亏线上审批等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；</w:t>
      </w:r>
      <w:r>
        <w:rPr>
          <w:rFonts w:hint="default" w:ascii="Times New Roman" w:hAnsi="Times New Roman" w:eastAsia="方正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支持消耗统计、分析，与HIS 耗材消耗数据做对账校验。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物资出入库业务自动对接财务，自动生成财务凭证。</w:t>
      </w:r>
    </w:p>
    <w:p w14:paraId="718A670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Chars="0" w:right="0" w:rightChars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适配医院病区物资领用、后勤保障物资管理场景；支持供应商基础台账管理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5FA4F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十、固定资产管理模块调研要求</w:t>
      </w:r>
    </w:p>
    <w:p w14:paraId="78018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实现资产采购入库、建卡、领用、调拨、维修、盘点、处置、报废全生命周期管理；一物一码，支持二维码扫码盘点。</w:t>
      </w:r>
    </w:p>
    <w:p w14:paraId="00266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支持房屋建筑物、医疗设备、家具等资产分类管理；自动计提折旧，折旧数据推送财务核算模块。</w:t>
      </w:r>
    </w:p>
    <w:p w14:paraId="05867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建立科室资产台账，支持按精神专科病区统计资产分布情况；资产盘点差异处理，报废业务线上审批；输出各类资产统计报表。</w:t>
      </w:r>
    </w:p>
    <w:p w14:paraId="589C3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十一、人力资源管理模块调研要求</w:t>
      </w:r>
    </w:p>
    <w:p w14:paraId="4D29A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组织架构维护、人员档案管理，建立完整人事信息台账，区分医师、护士、医技、行政、后勤，区分编内、编外人员信息。</w:t>
      </w:r>
    </w:p>
    <w:p w14:paraId="66380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岗位管理、聘用合同管理、考勤管理、人员异动（入职、调岗、离职）管理。</w:t>
      </w:r>
    </w:p>
    <w:p w14:paraId="68AEE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薪酬工资核算，支持基本工资、绩效奖金、各类补贴核算，工资发放审批流程，自动生成薪酬会计凭证；社保公积金台账管理。</w:t>
      </w:r>
    </w:p>
    <w:p w14:paraId="6988C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人员培训、继续教育、职称档案管理；输出人力统计报表、人力成本统计，人力数据可对接绩效模块。</w:t>
      </w:r>
    </w:p>
    <w:p w14:paraId="6E3FC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十二、绩效管理模块调研要求（重点适配精神卫生专科医院）</w:t>
      </w:r>
    </w:p>
    <w:p w14:paraId="5536D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供应商须重点说明本模块针对精神专科医院业务适配能力，区分综合医院通用绩效方案，逐项说明功能为原生实现还是需要二次开发。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供应商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  <w:lang w:eastAsia="zh-CN"/>
        </w:rPr>
        <w:t>须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就绩效咨询方案、系统软件功能或其他项分别进行报价。</w:t>
      </w:r>
    </w:p>
    <w:p w14:paraId="27870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绩效指标体系配置能力</w:t>
      </w:r>
    </w:p>
    <w:p w14:paraId="7C6F4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（1）支持自定义多套绩效方案，可针对精神科临床病区、精神科门诊、心理科、医技科室、行政后勤科室配置差异化考核指标。</w:t>
      </w:r>
    </w:p>
    <w:p w14:paraId="62A24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）支持量化指标 + 定性指标相结合，可自由配置指标权重、计分规则、扣罚规则。</w:t>
      </w:r>
    </w:p>
    <w:p w14:paraId="04394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绩效数据采集</w:t>
      </w:r>
    </w:p>
    <w:p w14:paraId="7188A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（1）支</w:t>
      </w:r>
      <w:r>
        <w:rPr>
          <w:rFonts w:hint="default" w:ascii="Times New Roman" w:hAnsi="Times New Roman" w:eastAsia="方正仿宋_GB2312" w:cs="Times New Roman"/>
          <w:strike w:val="0"/>
          <w:dstrike w:val="0"/>
          <w:color w:val="auto"/>
          <w:sz w:val="32"/>
          <w:szCs w:val="32"/>
          <w:highlight w:val="none"/>
        </w:rPr>
        <w:t>持自动对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接 HIS、EMR 及 HRP</w:t>
      </w:r>
      <w:r>
        <w:rPr>
          <w:rFonts w:hint="default" w:ascii="Times New Roman" w:hAnsi="Times New Roman" w:eastAsia="方正仿宋_GB2312" w:cs="Times New Roman"/>
          <w:strike w:val="0"/>
          <w:dstrike w:val="0"/>
          <w:color w:val="auto"/>
          <w:sz w:val="32"/>
          <w:szCs w:val="32"/>
          <w:highlight w:val="none"/>
        </w:rPr>
        <w:t xml:space="preserve"> 内部模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块，</w:t>
      </w:r>
      <w:r>
        <w:rPr>
          <w:rFonts w:hint="default" w:ascii="Times New Roman" w:hAnsi="Times New Roman" w:eastAsia="方正仿宋_GB2312" w:cs="Times New Roman"/>
          <w:strike w:val="0"/>
          <w:dstrike w:val="0"/>
          <w:color w:val="auto"/>
          <w:sz w:val="32"/>
          <w:szCs w:val="32"/>
          <w:highlight w:val="none"/>
        </w:rPr>
        <w:t>自动获取工作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量、医疗质量、运营类数据；支持手工导入专项考核数据，例如精神卫生公共卫生任务完成情况、科室质控扣分、不良事件记录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。</w:t>
      </w:r>
    </w:p>
    <w:p w14:paraId="2F4C3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（2）可区分不同岗位开展核算：精神科医生、护士、康复治疗师、心理治疗师、行政后勤人员。</w:t>
      </w:r>
    </w:p>
    <w:p w14:paraId="7E184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核算与分配</w:t>
      </w:r>
    </w:p>
    <w:p w14:paraId="7A4F433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支持院级核算到科室、科室二次分配到个人；支持多种绩效核算模式，可适配医院现有绩效分配思路，支持绩效计算公式自定义配置。</w:t>
      </w:r>
    </w:p>
    <w:p w14:paraId="038D29D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支持按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业务流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设置绩效。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绩效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指标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贯通全院业务环节，支撑患者合理流转，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可将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宣教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工作纳入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绩效，依据科室定位差异化设置考核重点</w:t>
      </w:r>
    </w:p>
    <w:p w14:paraId="58FE9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）绩效奖金数据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可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推送工资核算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系统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。</w:t>
      </w:r>
    </w:p>
    <w:p w14:paraId="374CB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绩效分析与公示</w:t>
      </w:r>
    </w:p>
    <w:p w14:paraId="5C1EB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（1）输出科室绩效报表、个人绩效明细；支持科室、人员查询绩效结果；支持数据导出，满足院内绩效公示需求。</w:t>
      </w:r>
    </w:p>
    <w:p w14:paraId="27B26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（2）支持绩效趋势分析，对各精神专科病区工作量、考核得分做多期对比。</w:t>
      </w:r>
    </w:p>
    <w:p w14:paraId="7EEE9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绩效闭环管理</w:t>
      </w:r>
    </w:p>
    <w:p w14:paraId="3941622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支持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绩效改革评价，可对绩效完成后科室工作结果进行评分及对比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。</w:t>
      </w:r>
    </w:p>
    <w:p w14:paraId="05D5ED6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支持手机移动端工作量查询，并能对特定患者进行回访。</w:t>
      </w:r>
    </w:p>
    <w:p w14:paraId="2AF30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十三、项目实施、服务与案例调研要求</w:t>
      </w:r>
    </w:p>
    <w:p w14:paraId="1825F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实施方案：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提供完整项目实施方法论，包含需求调研、方案设计、系统配置、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  <w:t>开发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测试、上线、培训、切换、试运行、验收各阶段工作内容、预估周期、投入人员配置；重点说明针对精神卫生专科医院的需求调研重点。</w:t>
      </w:r>
    </w:p>
    <w:p w14:paraId="2A3B8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售后服务：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上线后运维服务模式，故障分级、响应时效，7×24 故障响应说明；版本升级服务、驻场服务安排；明确质保期时长，质保期外服务收费模式。</w:t>
      </w:r>
    </w:p>
    <w:p w14:paraId="5E633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同类案例：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提供近三年完整 HRP 建设项目案例，可提供脱敏后合同关键页，注明项目建设模块、上线时间、可联系对接人；综合医院案例仅作参考，优先提供精神专科案例。</w:t>
      </w:r>
    </w:p>
    <w:p w14:paraId="3FA46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>知识产权：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提供软件著作权等权属证明，说明 HRP 核心模块是否为自主知识产权，列明第三方组件清单。</w:t>
      </w:r>
    </w:p>
    <w:p w14:paraId="7187C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highlight w:val="none"/>
        </w:rPr>
        <w:t xml:space="preserve">信创要求: 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HRP 系统信创适配整体方案，明确兼容适配情况,列明已完成的信创产品互认认证情况。</w:t>
      </w:r>
    </w:p>
    <w:p w14:paraId="6B985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十四、报价相关调研要求</w:t>
      </w:r>
    </w:p>
    <w:p w14:paraId="60D24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32"/>
          <w:szCs w:val="32"/>
          <w:highlight w:val="none"/>
        </w:rPr>
        <w:t>按模块进行分项报价</w:t>
      </w:r>
    </w:p>
    <w:p w14:paraId="4C5E3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sz w:val="32"/>
          <w:szCs w:val="32"/>
          <w:highlight w:val="none"/>
        </w:rPr>
        <w:t>十五、其他供应商需响应内容</w:t>
      </w:r>
    </w:p>
    <w:p w14:paraId="0E31D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识别项目潜在风险点，并提供应对方案。</w:t>
      </w:r>
    </w:p>
    <w:p w14:paraId="6B46B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提供项目验收标准建议。</w:t>
      </w:r>
    </w:p>
    <w:p w14:paraId="22EFD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全部应答材料须加盖供应商公章，与公告要求其他材料一并报送。</w:t>
      </w:r>
    </w:p>
    <w:p w14:paraId="274A8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无法实现的功能点，须明确标注 “不支持”，不得模糊应答，并说明替代解决方案。</w:t>
      </w: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1" w:fontKey="{DC7BB629-587C-4BD5-83A1-11BA7AB686A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B35624F-A092-4C43-BE86-58502C3805E7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DB03030-DC33-44E0-973A-03744551E9B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2889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2D4F0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2D4F0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BAAE6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84D2F5"/>
    <w:multiLevelType w:val="singleLevel"/>
    <w:tmpl w:val="DC84D2F5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BD61781"/>
    <w:multiLevelType w:val="singleLevel"/>
    <w:tmpl w:val="FBD6178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DFE5585"/>
    <w:rsid w:val="000D4B27"/>
    <w:rsid w:val="022C4E0C"/>
    <w:rsid w:val="07FF194B"/>
    <w:rsid w:val="08F0324F"/>
    <w:rsid w:val="09D96349"/>
    <w:rsid w:val="0ABC1BCD"/>
    <w:rsid w:val="0AC7367C"/>
    <w:rsid w:val="0B332CAF"/>
    <w:rsid w:val="0CFE106D"/>
    <w:rsid w:val="0F3C156A"/>
    <w:rsid w:val="10252517"/>
    <w:rsid w:val="119932AF"/>
    <w:rsid w:val="13FA67C2"/>
    <w:rsid w:val="15506AC4"/>
    <w:rsid w:val="183D3DB6"/>
    <w:rsid w:val="19A10A1B"/>
    <w:rsid w:val="1BBE70C8"/>
    <w:rsid w:val="1E686E7A"/>
    <w:rsid w:val="23C9092C"/>
    <w:rsid w:val="24DF1D4A"/>
    <w:rsid w:val="27E1E93B"/>
    <w:rsid w:val="27E83399"/>
    <w:rsid w:val="2B18038A"/>
    <w:rsid w:val="30241B25"/>
    <w:rsid w:val="30565FEF"/>
    <w:rsid w:val="316B174D"/>
    <w:rsid w:val="34CA4CF3"/>
    <w:rsid w:val="35E26994"/>
    <w:rsid w:val="368806F5"/>
    <w:rsid w:val="3C9708C1"/>
    <w:rsid w:val="3CFFE440"/>
    <w:rsid w:val="3FFF883C"/>
    <w:rsid w:val="40081AB2"/>
    <w:rsid w:val="408B4299"/>
    <w:rsid w:val="42D41E73"/>
    <w:rsid w:val="45C422DF"/>
    <w:rsid w:val="46416AD6"/>
    <w:rsid w:val="48D95764"/>
    <w:rsid w:val="495C47F5"/>
    <w:rsid w:val="4C8B1B78"/>
    <w:rsid w:val="4D1D3051"/>
    <w:rsid w:val="4EA35EC7"/>
    <w:rsid w:val="53093E80"/>
    <w:rsid w:val="53EE37A9"/>
    <w:rsid w:val="55E165F9"/>
    <w:rsid w:val="56707D61"/>
    <w:rsid w:val="5BE842C5"/>
    <w:rsid w:val="5E4A0E97"/>
    <w:rsid w:val="5ED30E8D"/>
    <w:rsid w:val="5FFE47B2"/>
    <w:rsid w:val="603D76BB"/>
    <w:rsid w:val="62951A54"/>
    <w:rsid w:val="63F7386F"/>
    <w:rsid w:val="6A753740"/>
    <w:rsid w:val="6BF164ED"/>
    <w:rsid w:val="6DFAFED9"/>
    <w:rsid w:val="6EDF43CF"/>
    <w:rsid w:val="7419513C"/>
    <w:rsid w:val="776AC6D7"/>
    <w:rsid w:val="77EF8FA0"/>
    <w:rsid w:val="7A0D6597"/>
    <w:rsid w:val="7B7AB331"/>
    <w:rsid w:val="7B7FD0E0"/>
    <w:rsid w:val="7BFB2C54"/>
    <w:rsid w:val="7C7943DD"/>
    <w:rsid w:val="7CFF5671"/>
    <w:rsid w:val="7DFFE96F"/>
    <w:rsid w:val="7EFF8954"/>
    <w:rsid w:val="7F6E068A"/>
    <w:rsid w:val="7F9E9F5A"/>
    <w:rsid w:val="7FD6723D"/>
    <w:rsid w:val="7FDD82DF"/>
    <w:rsid w:val="7FEF320D"/>
    <w:rsid w:val="7FF58E20"/>
    <w:rsid w:val="7FFB5859"/>
    <w:rsid w:val="9DFE5585"/>
    <w:rsid w:val="ACFF2F42"/>
    <w:rsid w:val="BEF25C1E"/>
    <w:rsid w:val="BF5D3EE7"/>
    <w:rsid w:val="BF8EDD95"/>
    <w:rsid w:val="CBDF0585"/>
    <w:rsid w:val="D6F7AF7A"/>
    <w:rsid w:val="DAEB5CD9"/>
    <w:rsid w:val="DB7FBC59"/>
    <w:rsid w:val="DFEFC0DB"/>
    <w:rsid w:val="EDED7039"/>
    <w:rsid w:val="EF5F3BBB"/>
    <w:rsid w:val="F77E7490"/>
    <w:rsid w:val="FB353CB5"/>
    <w:rsid w:val="FC3F3761"/>
    <w:rsid w:val="FE768513"/>
    <w:rsid w:val="FF5798FC"/>
    <w:rsid w:val="FF8BCB48"/>
    <w:rsid w:val="FF968D41"/>
    <w:rsid w:val="FFBF7AD6"/>
    <w:rsid w:val="FFFBB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3829</Words>
  <Characters>3854</Characters>
  <Lines>0</Lines>
  <Paragraphs>0</Paragraphs>
  <TotalTime>42</TotalTime>
  <ScaleCrop>false</ScaleCrop>
  <LinksUpToDate>false</LinksUpToDate>
  <CharactersWithSpaces>3874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2026-09-09T10:17:00Z</dcterms:created>
  <dc:creator>浅浅爱笑</dc:creator>
  <cp:lastModifiedBy>崔利</cp:lastModifiedBy>
  <dcterms:modified xsi:type="dcterms:W3CDTF">2026-09-14T08:07:37Z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D3C2DEA5915D651434709F6A69B0692D_41</vt:lpwstr>
  </property>
  <property fmtid="{D5CDD505-2E9C-101B-9397-08002B2CF9AE}" pid="4" name="KSOTemplateDocerSaveRecord">
    <vt:lpwstr>eyJoZGlkIjoiMTg1NmQwZmY3NzdjN2E1ZGVkNmI5NWFmMDZkNmJkMDAiLCJ1c2VySWQiOiIxNDU4NzAxOTA4In0=</vt:lpwstr>
  </property>
</Properties>
</file>